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0" w:type="dxa"/>
        <w:shd w:val="clear" w:color="auto" w:fill="FFFFFF"/>
        <w:tblCellMar>
          <w:left w:w="0" w:type="dxa"/>
          <w:right w:w="0" w:type="dxa"/>
        </w:tblCellMar>
        <w:tblLook w:val="04A0" w:firstRow="1" w:lastRow="0" w:firstColumn="1" w:lastColumn="0" w:noHBand="0" w:noVBand="1"/>
      </w:tblPr>
      <w:tblGrid>
        <w:gridCol w:w="6570"/>
        <w:gridCol w:w="2340"/>
      </w:tblGrid>
      <w:tr w:rsidR="009E5E23" w:rsidRPr="009E5E23" w:rsidTr="009E5E23">
        <w:tc>
          <w:tcPr>
            <w:tcW w:w="6570" w:type="dxa"/>
            <w:tcBorders>
              <w:top w:val="nil"/>
              <w:left w:val="nil"/>
              <w:bottom w:val="double" w:sz="12" w:space="0" w:color="auto"/>
              <w:right w:val="nil"/>
            </w:tcBorders>
            <w:shd w:val="clear" w:color="auto" w:fill="FFFFFF"/>
            <w:tcMar>
              <w:top w:w="0" w:type="dxa"/>
              <w:left w:w="108" w:type="dxa"/>
              <w:bottom w:w="0" w:type="dxa"/>
              <w:right w:w="108" w:type="dxa"/>
            </w:tcMar>
            <w:hideMark/>
          </w:tcPr>
          <w:p w:rsidR="009E5E23" w:rsidRPr="009E5E23" w:rsidRDefault="009E5E23" w:rsidP="009E5E23">
            <w:pPr>
              <w:spacing w:after="0" w:line="240" w:lineRule="auto"/>
              <w:rPr>
                <w:rFonts w:ascii="Times New Roman" w:eastAsia="Times New Roman" w:hAnsi="Times New Roman" w:cs="Times New Roman"/>
                <w:color w:val="222222"/>
                <w:sz w:val="20"/>
                <w:szCs w:val="20"/>
              </w:rPr>
            </w:pPr>
            <w:r w:rsidRPr="009E5E23">
              <w:rPr>
                <w:rFonts w:ascii="Verdana" w:eastAsia="Times New Roman" w:hAnsi="Verdana" w:cs="Times New Roman"/>
                <w:b/>
                <w:bCs/>
                <w:color w:val="222222"/>
                <w:sz w:val="20"/>
                <w:szCs w:val="20"/>
              </w:rPr>
              <w:t>Memorandum</w:t>
            </w:r>
          </w:p>
          <w:p w:rsidR="009E5E23" w:rsidRPr="009E5E23" w:rsidRDefault="009E5E23" w:rsidP="009E5E23">
            <w:pPr>
              <w:spacing w:after="0" w:line="240" w:lineRule="auto"/>
              <w:rPr>
                <w:rFonts w:ascii="Times New Roman" w:eastAsia="Times New Roman" w:hAnsi="Times New Roman" w:cs="Times New Roman"/>
                <w:color w:val="222222"/>
                <w:sz w:val="20"/>
                <w:szCs w:val="20"/>
              </w:rPr>
            </w:pPr>
            <w:r w:rsidRPr="009E5E23">
              <w:rPr>
                <w:rFonts w:ascii="Verdana" w:eastAsia="Times New Roman" w:hAnsi="Verdana" w:cs="Times New Roman"/>
                <w:color w:val="0000FF"/>
                <w:sz w:val="20"/>
                <w:szCs w:val="20"/>
              </w:rPr>
              <w:t> </w:t>
            </w:r>
          </w:p>
          <w:p w:rsidR="009E5E23" w:rsidRPr="009E5E23" w:rsidRDefault="009E5E23" w:rsidP="009E5E23">
            <w:pPr>
              <w:spacing w:after="0" w:line="240" w:lineRule="auto"/>
              <w:rPr>
                <w:rFonts w:ascii="Times New Roman" w:eastAsia="Times New Roman" w:hAnsi="Times New Roman" w:cs="Times New Roman"/>
                <w:color w:val="222222"/>
                <w:sz w:val="20"/>
                <w:szCs w:val="20"/>
              </w:rPr>
            </w:pPr>
            <w:r w:rsidRPr="009E5E23">
              <w:rPr>
                <w:rFonts w:ascii="Verdana" w:eastAsia="Times New Roman" w:hAnsi="Verdana" w:cs="Times New Roman"/>
                <w:b/>
                <w:bCs/>
                <w:color w:val="0000FF"/>
                <w:sz w:val="20"/>
                <w:szCs w:val="20"/>
              </w:rPr>
              <w:t>IOC Code of Ethics – London 2012</w:t>
            </w:r>
          </w:p>
          <w:p w:rsidR="009E5E23" w:rsidRPr="009E5E23" w:rsidRDefault="009E5E23" w:rsidP="009E5E23">
            <w:pPr>
              <w:spacing w:after="0" w:line="240" w:lineRule="auto"/>
              <w:rPr>
                <w:rFonts w:ascii="Times New Roman" w:eastAsia="Times New Roman" w:hAnsi="Times New Roman" w:cs="Times New Roman"/>
                <w:color w:val="222222"/>
                <w:sz w:val="20"/>
                <w:szCs w:val="20"/>
              </w:rPr>
            </w:pPr>
            <w:r w:rsidRPr="009E5E23">
              <w:rPr>
                <w:rFonts w:ascii="Verdana" w:eastAsia="Times New Roman" w:hAnsi="Verdana" w:cs="Times New Roman"/>
                <w:b/>
                <w:bCs/>
                <w:color w:val="222222"/>
                <w:sz w:val="20"/>
                <w:szCs w:val="20"/>
              </w:rPr>
              <w:t> </w:t>
            </w:r>
          </w:p>
          <w:p w:rsidR="009E5E23" w:rsidRPr="009E5E23" w:rsidRDefault="009E5E23" w:rsidP="009E5E23">
            <w:pPr>
              <w:spacing w:after="0" w:line="240" w:lineRule="auto"/>
              <w:rPr>
                <w:rFonts w:ascii="Times New Roman" w:eastAsia="Times New Roman" w:hAnsi="Times New Roman" w:cs="Times New Roman"/>
                <w:color w:val="222222"/>
                <w:sz w:val="20"/>
                <w:szCs w:val="20"/>
              </w:rPr>
            </w:pPr>
            <w:r w:rsidRPr="009E5E23">
              <w:rPr>
                <w:rFonts w:ascii="Verdana" w:eastAsia="Times New Roman" w:hAnsi="Verdana" w:cs="Times New Roman"/>
                <w:b/>
                <w:bCs/>
                <w:color w:val="222222"/>
                <w:sz w:val="20"/>
                <w:szCs w:val="20"/>
              </w:rPr>
              <w:t>Monday 9 July  2012</w:t>
            </w:r>
          </w:p>
        </w:tc>
        <w:tc>
          <w:tcPr>
            <w:tcW w:w="2340" w:type="dxa"/>
            <w:tcBorders>
              <w:top w:val="nil"/>
              <w:left w:val="nil"/>
              <w:bottom w:val="double" w:sz="12" w:space="0" w:color="auto"/>
              <w:right w:val="nil"/>
            </w:tcBorders>
            <w:shd w:val="clear" w:color="auto" w:fill="FFFFFF"/>
            <w:tcMar>
              <w:top w:w="0" w:type="dxa"/>
              <w:left w:w="108" w:type="dxa"/>
              <w:bottom w:w="0" w:type="dxa"/>
              <w:right w:w="108" w:type="dxa"/>
            </w:tcMar>
            <w:hideMark/>
          </w:tcPr>
          <w:p w:rsidR="009E5E23" w:rsidRPr="009E5E23" w:rsidRDefault="009E5E23" w:rsidP="009E5E23">
            <w:pPr>
              <w:spacing w:after="0" w:line="240" w:lineRule="auto"/>
              <w:jc w:val="right"/>
              <w:rPr>
                <w:rFonts w:ascii="Times New Roman" w:eastAsia="Times New Roman" w:hAnsi="Times New Roman" w:cs="Times New Roman"/>
                <w:color w:val="222222"/>
                <w:sz w:val="20"/>
                <w:szCs w:val="20"/>
              </w:rPr>
            </w:pPr>
            <w:r w:rsidRPr="009E5E23">
              <w:rPr>
                <w:noProof/>
                <w:sz w:val="20"/>
                <w:szCs w:val="20"/>
              </w:rPr>
              <w:drawing>
                <wp:anchor distT="0" distB="0" distL="114300" distR="114300" simplePos="0" relativeHeight="251658240" behindDoc="0" locked="0" layoutInCell="1" allowOverlap="1" wp14:anchorId="56292009" wp14:editId="02BECAB8">
                  <wp:simplePos x="0" y="0"/>
                  <wp:positionH relativeFrom="column">
                    <wp:posOffset>123825</wp:posOffset>
                  </wp:positionH>
                  <wp:positionV relativeFrom="paragraph">
                    <wp:posOffset>-390525</wp:posOffset>
                  </wp:positionV>
                  <wp:extent cx="153352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33525" cy="1247775"/>
                          </a:xfrm>
                          <a:prstGeom prst="rect">
                            <a:avLst/>
                          </a:prstGeom>
                        </pic:spPr>
                      </pic:pic>
                    </a:graphicData>
                  </a:graphic>
                  <wp14:sizeRelH relativeFrom="page">
                    <wp14:pctWidth>0</wp14:pctWidth>
                  </wp14:sizeRelH>
                  <wp14:sizeRelV relativeFrom="page">
                    <wp14:pctHeight>0</wp14:pctHeight>
                  </wp14:sizeRelV>
                </wp:anchor>
              </w:drawing>
            </w:r>
          </w:p>
        </w:tc>
      </w:tr>
    </w:tbl>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Dear Members</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Please find enclosed important information from the </w:t>
      </w:r>
      <w:r w:rsidRPr="009E5E23">
        <w:rPr>
          <w:rFonts w:ascii="Verdana" w:eastAsia="Times New Roman" w:hAnsi="Verdana" w:cs="Arial"/>
          <w:i/>
          <w:iCs/>
          <w:color w:val="222222"/>
          <w:sz w:val="20"/>
          <w:szCs w:val="20"/>
        </w:rPr>
        <w:t>IOC Ethics Commission</w:t>
      </w:r>
      <w:r w:rsidRPr="009E5E23">
        <w:rPr>
          <w:rFonts w:ascii="Verdana" w:eastAsia="Times New Roman" w:hAnsi="Verdana" w:cs="Arial"/>
          <w:color w:val="222222"/>
          <w:sz w:val="20"/>
          <w:szCs w:val="20"/>
        </w:rPr>
        <w:t> on Rules Associated with </w:t>
      </w:r>
      <w:r w:rsidRPr="009E5E23">
        <w:rPr>
          <w:rFonts w:ascii="Verdana" w:eastAsia="Times New Roman" w:hAnsi="Verdana" w:cs="Arial"/>
          <w:b/>
          <w:bCs/>
          <w:i/>
          <w:iCs/>
          <w:color w:val="222222"/>
          <w:sz w:val="20"/>
          <w:szCs w:val="20"/>
        </w:rPr>
        <w:t>betting</w:t>
      </w:r>
      <w:r w:rsidRPr="009E5E23">
        <w:rPr>
          <w:rFonts w:ascii="Verdana" w:eastAsia="Times New Roman" w:hAnsi="Verdana" w:cs="Arial"/>
          <w:color w:val="222222"/>
          <w:sz w:val="20"/>
          <w:szCs w:val="20"/>
        </w:rPr>
        <w:t> linked to the </w:t>
      </w:r>
      <w:r w:rsidRPr="009E5E23">
        <w:rPr>
          <w:rFonts w:ascii="Verdana" w:eastAsia="Times New Roman" w:hAnsi="Verdana" w:cs="Arial"/>
          <w:b/>
          <w:bCs/>
          <w:i/>
          <w:iCs/>
          <w:color w:val="222222"/>
          <w:sz w:val="20"/>
          <w:szCs w:val="20"/>
        </w:rPr>
        <w:t>London 2012 Olympic Games</w:t>
      </w:r>
      <w:r w:rsidRPr="009E5E23">
        <w:rPr>
          <w:rFonts w:ascii="Verdana" w:eastAsia="Times New Roman" w:hAnsi="Verdana" w:cs="Arial"/>
          <w:color w:val="222222"/>
          <w:sz w:val="20"/>
          <w:szCs w:val="20"/>
        </w:rPr>
        <w:t> including any form of cheating affecting the results of Olympic competitions in the context of betting.</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Please pass this on to all accredited personnel for London 2012 – </w:t>
      </w:r>
      <w:r w:rsidRPr="009E5E23">
        <w:rPr>
          <w:rFonts w:ascii="Verdana" w:eastAsia="Times New Roman" w:hAnsi="Verdana" w:cs="Arial"/>
          <w:b/>
          <w:bCs/>
          <w:i/>
          <w:iCs/>
          <w:color w:val="222222"/>
          <w:sz w:val="20"/>
          <w:szCs w:val="20"/>
        </w:rPr>
        <w:t>athletes, team managers, team support personnel, staff, administrators, medical people</w:t>
      </w:r>
      <w:r w:rsidRPr="009E5E23">
        <w:rPr>
          <w:rFonts w:ascii="Verdana" w:eastAsia="Times New Roman" w:hAnsi="Verdana" w:cs="Arial"/>
          <w:color w:val="222222"/>
          <w:sz w:val="20"/>
          <w:szCs w:val="20"/>
        </w:rPr>
        <w:t> and </w:t>
      </w:r>
      <w:r w:rsidRPr="009E5E23">
        <w:rPr>
          <w:rFonts w:ascii="Verdana" w:eastAsia="Times New Roman" w:hAnsi="Verdana" w:cs="Arial"/>
          <w:b/>
          <w:bCs/>
          <w:i/>
          <w:iCs/>
          <w:color w:val="222222"/>
          <w:sz w:val="20"/>
          <w:szCs w:val="20"/>
        </w:rPr>
        <w:t xml:space="preserve">any accredited </w:t>
      </w:r>
      <w:proofErr w:type="spellStart"/>
      <w:r w:rsidRPr="009E5E23">
        <w:rPr>
          <w:rFonts w:ascii="Verdana" w:eastAsia="Times New Roman" w:hAnsi="Verdana" w:cs="Arial"/>
          <w:b/>
          <w:bCs/>
          <w:i/>
          <w:iCs/>
          <w:color w:val="222222"/>
          <w:sz w:val="20"/>
          <w:szCs w:val="20"/>
        </w:rPr>
        <w:t>person</w:t>
      </w:r>
      <w:r w:rsidRPr="009E5E23">
        <w:rPr>
          <w:rFonts w:ascii="Verdana" w:eastAsia="Times New Roman" w:hAnsi="Verdana" w:cs="Arial"/>
          <w:color w:val="222222"/>
          <w:sz w:val="20"/>
          <w:szCs w:val="20"/>
        </w:rPr>
        <w:t>going</w:t>
      </w:r>
      <w:proofErr w:type="spellEnd"/>
      <w:r w:rsidRPr="009E5E23">
        <w:rPr>
          <w:rFonts w:ascii="Verdana" w:eastAsia="Times New Roman" w:hAnsi="Verdana" w:cs="Arial"/>
          <w:color w:val="222222"/>
          <w:sz w:val="20"/>
          <w:szCs w:val="20"/>
        </w:rPr>
        <w:t xml:space="preserve"> to London 2012.</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Below is a short summary – please see the detail in Annex 2 attached.</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jc w:val="center"/>
        <w:rPr>
          <w:rFonts w:ascii="Arial" w:eastAsia="Times New Roman" w:hAnsi="Arial" w:cs="Arial"/>
          <w:color w:val="222222"/>
          <w:sz w:val="20"/>
          <w:szCs w:val="20"/>
        </w:rPr>
      </w:pPr>
      <w:r w:rsidRPr="009E5E23">
        <w:rPr>
          <w:rFonts w:ascii="Verdana" w:eastAsia="Times New Roman" w:hAnsi="Verdana" w:cs="Arial"/>
          <w:color w:val="222222"/>
          <w:sz w:val="20"/>
          <w:szCs w:val="20"/>
        </w:rPr>
        <w:t>_______________________________________</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1.  </w:t>
      </w:r>
      <w:r w:rsidRPr="009E5E23">
        <w:rPr>
          <w:rFonts w:ascii="Verdana" w:eastAsia="Times New Roman" w:hAnsi="Verdana" w:cs="Arial"/>
          <w:b/>
          <w:bCs/>
          <w:i/>
          <w:iCs/>
          <w:color w:val="222222"/>
          <w:sz w:val="20"/>
          <w:szCs w:val="20"/>
        </w:rPr>
        <w:t>IOC Code of Ethics</w:t>
      </w:r>
      <w:r w:rsidRPr="009E5E23">
        <w:rPr>
          <w:rFonts w:ascii="Verdana" w:eastAsia="Times New Roman" w:hAnsi="Verdana" w:cs="Arial"/>
          <w:color w:val="222222"/>
          <w:sz w:val="20"/>
          <w:szCs w:val="20"/>
        </w:rPr>
        <w:t> – Breaches of </w:t>
      </w:r>
      <w:r w:rsidRPr="009E5E23">
        <w:rPr>
          <w:rFonts w:ascii="Verdana" w:eastAsia="Times New Roman" w:hAnsi="Verdana" w:cs="Arial"/>
          <w:b/>
          <w:bCs/>
          <w:color w:val="222222"/>
          <w:sz w:val="20"/>
          <w:szCs w:val="20"/>
        </w:rPr>
        <w:t>Articles A.5</w:t>
      </w:r>
      <w:r w:rsidRPr="009E5E23">
        <w:rPr>
          <w:rFonts w:ascii="Verdana" w:eastAsia="Times New Roman" w:hAnsi="Verdana" w:cs="Arial"/>
          <w:color w:val="222222"/>
          <w:sz w:val="20"/>
          <w:szCs w:val="20"/>
        </w:rPr>
        <w:t> and </w:t>
      </w:r>
      <w:r w:rsidRPr="009E5E23">
        <w:rPr>
          <w:rFonts w:ascii="Verdana" w:eastAsia="Times New Roman" w:hAnsi="Verdana" w:cs="Arial"/>
          <w:b/>
          <w:bCs/>
          <w:i/>
          <w:iCs/>
          <w:color w:val="222222"/>
          <w:sz w:val="20"/>
          <w:szCs w:val="20"/>
        </w:rPr>
        <w:t>A.6 Betting / Influencing</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b/>
          <w:bCs/>
          <w:i/>
          <w:iCs/>
          <w:color w:val="222222"/>
          <w:sz w:val="20"/>
          <w:szCs w:val="20"/>
        </w:rPr>
        <w:t>     </w:t>
      </w:r>
      <w:proofErr w:type="gramStart"/>
      <w:r w:rsidRPr="009E5E23">
        <w:rPr>
          <w:rFonts w:ascii="Verdana" w:eastAsia="Times New Roman" w:hAnsi="Verdana" w:cs="Arial"/>
          <w:b/>
          <w:bCs/>
          <w:i/>
          <w:iCs/>
          <w:color w:val="222222"/>
          <w:sz w:val="20"/>
          <w:szCs w:val="20"/>
        </w:rPr>
        <w:t>the</w:t>
      </w:r>
      <w:proofErr w:type="gramEnd"/>
      <w:r w:rsidRPr="009E5E23">
        <w:rPr>
          <w:rFonts w:ascii="Verdana" w:eastAsia="Times New Roman" w:hAnsi="Verdana" w:cs="Arial"/>
          <w:b/>
          <w:bCs/>
          <w:i/>
          <w:iCs/>
          <w:color w:val="222222"/>
          <w:sz w:val="20"/>
          <w:szCs w:val="20"/>
        </w:rPr>
        <w:t xml:space="preserve"> Outcomes of Matches</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The IOC Code of Ethics applies to all “participants” for the ‘period’ of the London 2012 Olympic Games.</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This period is from the day the Athletes Village opens till after the Closing Ceremony – 16 July – 15 August 2012 inclusive.</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The IOC Code of Ethics as regards betting applies to all accredited participants:</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proofErr w:type="gramStart"/>
      <w:r w:rsidRPr="009E5E23">
        <w:rPr>
          <w:rFonts w:ascii="Verdana" w:eastAsia="Times New Roman" w:hAnsi="Verdana" w:cs="Arial"/>
          <w:color w:val="222222"/>
          <w:sz w:val="20"/>
          <w:szCs w:val="20"/>
        </w:rPr>
        <w:t>o</w:t>
      </w:r>
      <w:proofErr w:type="gramEnd"/>
      <w:r w:rsidRPr="009E5E23">
        <w:rPr>
          <w:rFonts w:ascii="Verdana" w:eastAsia="Times New Roman" w:hAnsi="Verdana" w:cs="Arial"/>
          <w:color w:val="222222"/>
          <w:sz w:val="20"/>
          <w:szCs w:val="20"/>
        </w:rPr>
        <w:t>          Individual competitors and teams</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proofErr w:type="gramStart"/>
      <w:r w:rsidRPr="009E5E23">
        <w:rPr>
          <w:rFonts w:ascii="Verdana" w:eastAsia="Times New Roman" w:hAnsi="Verdana" w:cs="Arial"/>
          <w:color w:val="222222"/>
          <w:sz w:val="20"/>
          <w:szCs w:val="20"/>
        </w:rPr>
        <w:t>o</w:t>
      </w:r>
      <w:proofErr w:type="gramEnd"/>
      <w:r w:rsidRPr="009E5E23">
        <w:rPr>
          <w:rFonts w:ascii="Verdana" w:eastAsia="Times New Roman" w:hAnsi="Verdana" w:cs="Arial"/>
          <w:color w:val="222222"/>
          <w:sz w:val="20"/>
          <w:szCs w:val="20"/>
        </w:rPr>
        <w:t>          Officials, managers and other members of any delegation</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proofErr w:type="gramStart"/>
      <w:r w:rsidRPr="009E5E23">
        <w:rPr>
          <w:rFonts w:ascii="Verdana" w:eastAsia="Times New Roman" w:hAnsi="Verdana" w:cs="Arial"/>
          <w:color w:val="222222"/>
          <w:sz w:val="20"/>
          <w:szCs w:val="20"/>
        </w:rPr>
        <w:t>o</w:t>
      </w:r>
      <w:proofErr w:type="gramEnd"/>
      <w:r w:rsidRPr="009E5E23">
        <w:rPr>
          <w:rFonts w:ascii="Verdana" w:eastAsia="Times New Roman" w:hAnsi="Verdana" w:cs="Arial"/>
          <w:color w:val="222222"/>
          <w:sz w:val="20"/>
          <w:szCs w:val="20"/>
        </w:rPr>
        <w:t>          Referees and jury members</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proofErr w:type="gramStart"/>
      <w:r w:rsidRPr="009E5E23">
        <w:rPr>
          <w:rFonts w:ascii="Verdana" w:eastAsia="Times New Roman" w:hAnsi="Verdana" w:cs="Arial"/>
          <w:color w:val="222222"/>
          <w:sz w:val="20"/>
          <w:szCs w:val="20"/>
        </w:rPr>
        <w:t>o</w:t>
      </w:r>
      <w:proofErr w:type="gramEnd"/>
      <w:r w:rsidRPr="009E5E23">
        <w:rPr>
          <w:rFonts w:ascii="Verdana" w:eastAsia="Times New Roman" w:hAnsi="Verdana" w:cs="Arial"/>
          <w:color w:val="222222"/>
          <w:sz w:val="20"/>
          <w:szCs w:val="20"/>
        </w:rPr>
        <w:t>          All other accredited persons.</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b/>
          <w:bCs/>
          <w:color w:val="222222"/>
          <w:sz w:val="20"/>
          <w:szCs w:val="20"/>
        </w:rPr>
        <w:t>Article A.5 of the IOC Code of Ethics</w:t>
      </w:r>
      <w:r w:rsidRPr="009E5E23">
        <w:rPr>
          <w:rFonts w:ascii="Verdana" w:eastAsia="Times New Roman" w:hAnsi="Verdana" w:cs="Arial"/>
          <w:color w:val="222222"/>
          <w:sz w:val="20"/>
          <w:szCs w:val="20"/>
        </w:rPr>
        <w:t> provides that:</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before="100" w:beforeAutospacing="1" w:after="100" w:afterAutospacing="1" w:line="240" w:lineRule="auto"/>
        <w:rPr>
          <w:rFonts w:ascii="Arial" w:eastAsia="Times New Roman" w:hAnsi="Arial" w:cs="Arial"/>
          <w:color w:val="222222"/>
          <w:sz w:val="20"/>
          <w:szCs w:val="20"/>
        </w:rPr>
      </w:pPr>
      <w:proofErr w:type="gramStart"/>
      <w:r w:rsidRPr="009E5E23">
        <w:rPr>
          <w:rFonts w:ascii="Courier New" w:eastAsia="Times New Roman" w:hAnsi="Courier New" w:cs="Courier New"/>
          <w:color w:val="222222"/>
          <w:sz w:val="20"/>
          <w:szCs w:val="20"/>
        </w:rPr>
        <w:t>o</w:t>
      </w:r>
      <w:proofErr w:type="gramEnd"/>
      <w:r w:rsidRPr="009E5E23">
        <w:rPr>
          <w:rFonts w:ascii="Times New Roman" w:eastAsia="Times New Roman" w:hAnsi="Times New Roman" w:cs="Times New Roman"/>
          <w:color w:val="222222"/>
          <w:sz w:val="20"/>
          <w:szCs w:val="20"/>
        </w:rPr>
        <w:t>    </w:t>
      </w:r>
      <w:r w:rsidRPr="009E5E23">
        <w:rPr>
          <w:rFonts w:ascii="Verdana" w:eastAsia="Times New Roman" w:hAnsi="Verdana" w:cs="Arial"/>
          <w:color w:val="222222"/>
          <w:sz w:val="20"/>
          <w:szCs w:val="20"/>
        </w:rPr>
        <w:t>All forms of participation in, or support for betting related to the Olympic Games, and all forms of promotion of betting related to the Olympic Games are prohibited.</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b/>
          <w:bCs/>
          <w:color w:val="222222"/>
          <w:sz w:val="20"/>
          <w:szCs w:val="20"/>
        </w:rPr>
        <w:t>Article A.6 of the Code of Ethics</w:t>
      </w:r>
      <w:r w:rsidRPr="009E5E23">
        <w:rPr>
          <w:rFonts w:ascii="Verdana" w:eastAsia="Times New Roman" w:hAnsi="Verdana" w:cs="Arial"/>
          <w:color w:val="222222"/>
          <w:sz w:val="20"/>
          <w:szCs w:val="20"/>
        </w:rPr>
        <w:t> provides that:</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before="100" w:beforeAutospacing="1" w:after="100" w:afterAutospacing="1" w:line="240" w:lineRule="auto"/>
        <w:rPr>
          <w:rFonts w:ascii="Arial" w:eastAsia="Times New Roman" w:hAnsi="Arial" w:cs="Arial"/>
          <w:color w:val="222222"/>
          <w:sz w:val="20"/>
          <w:szCs w:val="20"/>
        </w:rPr>
      </w:pPr>
      <w:r w:rsidRPr="009E5E23">
        <w:rPr>
          <w:rFonts w:ascii="Courier New" w:eastAsia="Times New Roman" w:hAnsi="Courier New" w:cs="Courier New"/>
          <w:color w:val="222222"/>
          <w:sz w:val="20"/>
          <w:szCs w:val="20"/>
        </w:rPr>
        <w:t>o</w:t>
      </w:r>
      <w:r w:rsidRPr="009E5E23">
        <w:rPr>
          <w:rFonts w:ascii="Times New Roman" w:eastAsia="Times New Roman" w:hAnsi="Times New Roman" w:cs="Times New Roman"/>
          <w:color w:val="222222"/>
          <w:sz w:val="20"/>
          <w:szCs w:val="20"/>
        </w:rPr>
        <w:t>    </w:t>
      </w:r>
      <w:r w:rsidRPr="009E5E23">
        <w:rPr>
          <w:rFonts w:ascii="Verdana" w:eastAsia="Times New Roman" w:hAnsi="Verdana" w:cs="Arial"/>
          <w:color w:val="222222"/>
          <w:sz w:val="20"/>
          <w:szCs w:val="20"/>
        </w:rPr>
        <w:t>Also, in the context of betting, participants in the Olympic Games must not, by any manner whatsoever, infringe the principle of fair play, show unsporting conduct, or attempt to influence the course or result of a competition, or any part thereof, in a manner contrary to sporting ethics.</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roofErr w:type="gramStart"/>
      <w:r w:rsidRPr="009E5E23">
        <w:rPr>
          <w:rFonts w:ascii="Courier New" w:eastAsia="Times New Roman" w:hAnsi="Courier New" w:cs="Courier New"/>
          <w:color w:val="222222"/>
          <w:sz w:val="20"/>
          <w:szCs w:val="20"/>
        </w:rPr>
        <w:t>o</w:t>
      </w:r>
      <w:proofErr w:type="gramEnd"/>
      <w:r w:rsidRPr="009E5E23">
        <w:rPr>
          <w:rFonts w:ascii="Times New Roman" w:eastAsia="Times New Roman" w:hAnsi="Times New Roman" w:cs="Times New Roman"/>
          <w:color w:val="222222"/>
          <w:sz w:val="20"/>
          <w:szCs w:val="20"/>
        </w:rPr>
        <w:t>    </w:t>
      </w:r>
      <w:r w:rsidRPr="009E5E23">
        <w:rPr>
          <w:rFonts w:ascii="Verdana" w:eastAsia="Times New Roman" w:hAnsi="Verdana" w:cs="Arial"/>
          <w:color w:val="222222"/>
          <w:sz w:val="20"/>
          <w:szCs w:val="20"/>
        </w:rPr>
        <w:t>Any attempt to engage in conduct prohibited in Articles A.5 or A.6 will also constitutes a breach.</w:t>
      </w:r>
    </w:p>
    <w:p w:rsidR="009E5E23" w:rsidRPr="009E5E23" w:rsidRDefault="009E5E23" w:rsidP="009E5E23">
      <w:pPr>
        <w:shd w:val="clear" w:color="auto" w:fill="FFFFFF"/>
        <w:spacing w:after="0" w:line="240" w:lineRule="auto"/>
        <w:jc w:val="center"/>
        <w:rPr>
          <w:rFonts w:ascii="Arial" w:eastAsia="Times New Roman" w:hAnsi="Arial" w:cs="Arial"/>
          <w:color w:val="222222"/>
          <w:sz w:val="20"/>
          <w:szCs w:val="20"/>
        </w:rPr>
      </w:pPr>
      <w:r w:rsidRPr="009E5E23">
        <w:rPr>
          <w:rFonts w:ascii="Verdana" w:eastAsia="Times New Roman" w:hAnsi="Verdana" w:cs="Arial"/>
          <w:color w:val="222222"/>
          <w:sz w:val="20"/>
          <w:szCs w:val="20"/>
        </w:rPr>
        <w:t>_______________________________________</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lastRenderedPageBreak/>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b/>
          <w:bCs/>
          <w:color w:val="222222"/>
          <w:sz w:val="20"/>
          <w:szCs w:val="20"/>
        </w:rPr>
        <w:t>2.  BWF’s Position on Betting / Influencing the Outcomes of Matches</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Please note below information on the BWF’s position on betting on badminton and the integrity of the Game. The Codes of Conduct deal with consequences of infringements in these areas – betting and influencing the result of a match.</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jc w:val="center"/>
        <w:rPr>
          <w:rFonts w:ascii="Arial" w:eastAsia="Times New Roman" w:hAnsi="Arial" w:cs="Arial"/>
          <w:color w:val="222222"/>
          <w:sz w:val="20"/>
          <w:szCs w:val="20"/>
        </w:rPr>
      </w:pPr>
      <w:r w:rsidRPr="009E5E23">
        <w:rPr>
          <w:rFonts w:ascii="Verdana" w:eastAsia="Times New Roman" w:hAnsi="Verdana" w:cs="Arial"/>
          <w:color w:val="222222"/>
          <w:sz w:val="20"/>
          <w:szCs w:val="20"/>
        </w:rPr>
        <w:t>_____________________________________________</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b/>
          <w:bCs/>
          <w:color w:val="222222"/>
          <w:sz w:val="20"/>
          <w:szCs w:val="20"/>
        </w:rPr>
        <w:t>BWF Constitution – Clause 4</w:t>
      </w:r>
      <w:proofErr w:type="gramStart"/>
      <w:r w:rsidRPr="009E5E23">
        <w:rPr>
          <w:rFonts w:ascii="Verdana" w:eastAsia="Times New Roman" w:hAnsi="Verdana" w:cs="Arial"/>
          <w:b/>
          <w:bCs/>
          <w:color w:val="222222"/>
          <w:sz w:val="20"/>
          <w:szCs w:val="20"/>
        </w:rPr>
        <w:t>,2</w:t>
      </w:r>
      <w:proofErr w:type="gramEnd"/>
      <w:r w:rsidRPr="009E5E23">
        <w:rPr>
          <w:rFonts w:ascii="Verdana" w:eastAsia="Times New Roman" w:hAnsi="Verdana" w:cs="Arial"/>
          <w:b/>
          <w:bCs/>
          <w:color w:val="222222"/>
          <w:sz w:val="20"/>
          <w:szCs w:val="20"/>
        </w:rPr>
        <w:t xml:space="preserve"> Fair Play</w:t>
      </w:r>
      <w:r w:rsidRPr="009E5E23">
        <w:rPr>
          <w:rFonts w:ascii="Verdana" w:eastAsia="Times New Roman" w:hAnsi="Verdana" w:cs="Arial"/>
          <w:color w:val="222222"/>
          <w:sz w:val="20"/>
          <w:szCs w:val="20"/>
        </w:rPr>
        <w:t> (</w:t>
      </w:r>
      <w:hyperlink r:id="rId6" w:tgtFrame="_blank" w:history="1">
        <w:r w:rsidRPr="009E5E23">
          <w:rPr>
            <w:rFonts w:ascii="Verdana" w:eastAsia="Times New Roman" w:hAnsi="Verdana" w:cs="Arial"/>
            <w:color w:val="1155CC"/>
            <w:sz w:val="20"/>
            <w:szCs w:val="20"/>
            <w:u w:val="single"/>
          </w:rPr>
          <w:t>linked here</w:t>
        </w:r>
      </w:hyperlink>
      <w:r w:rsidRPr="009E5E23">
        <w:rPr>
          <w:rFonts w:ascii="Verdana" w:eastAsia="Times New Roman" w:hAnsi="Verdana" w:cs="Arial"/>
          <w:color w:val="222222"/>
          <w:sz w:val="20"/>
          <w:szCs w:val="20"/>
        </w:rPr>
        <w:t>)</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“The Federation and its Members shall take all reasonable care to ensure competitions and those participating in events respect “fair play”. The Federation promotes the highest degree of sportsmanship and integrity among the players, officials and administrators.</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Players at all levels must be able to participate in Badminton which is free of drugs, violence, discrimination, technical manipulation, cheating and any form of exploitation in an attempt to win or to manipulate the outcome of a match”.</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jc w:val="center"/>
        <w:rPr>
          <w:rFonts w:ascii="Arial" w:eastAsia="Times New Roman" w:hAnsi="Arial" w:cs="Arial"/>
          <w:color w:val="222222"/>
          <w:sz w:val="20"/>
          <w:szCs w:val="20"/>
        </w:rPr>
      </w:pPr>
      <w:r w:rsidRPr="009E5E23">
        <w:rPr>
          <w:rFonts w:ascii="Verdana" w:eastAsia="Times New Roman" w:hAnsi="Verdana" w:cs="Arial"/>
          <w:color w:val="222222"/>
          <w:sz w:val="20"/>
          <w:szCs w:val="20"/>
        </w:rPr>
        <w:t>_____________________________________________</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b/>
          <w:bCs/>
          <w:color w:val="222222"/>
          <w:sz w:val="20"/>
          <w:szCs w:val="20"/>
        </w:rPr>
        <w:t>General Competition Regulations </w:t>
      </w:r>
      <w:r w:rsidRPr="009E5E23">
        <w:rPr>
          <w:rFonts w:ascii="Verdana" w:eastAsia="Times New Roman" w:hAnsi="Verdana" w:cs="Arial"/>
          <w:color w:val="222222"/>
          <w:sz w:val="20"/>
          <w:szCs w:val="20"/>
        </w:rPr>
        <w:t>(linked here)</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b/>
          <w:bCs/>
          <w:color w:val="222222"/>
          <w:sz w:val="20"/>
          <w:szCs w:val="20"/>
        </w:rPr>
        <w:t>Part III, Section 1B, Appendix 4 - Players Code of Conduct</w:t>
      </w:r>
      <w:r w:rsidRPr="009E5E23">
        <w:rPr>
          <w:rFonts w:ascii="Verdana" w:eastAsia="Times New Roman" w:hAnsi="Verdana" w:cs="Arial"/>
          <w:color w:val="222222"/>
          <w:sz w:val="20"/>
          <w:szCs w:val="20"/>
        </w:rPr>
        <w:t> (</w:t>
      </w:r>
      <w:hyperlink r:id="rId7" w:tgtFrame="_blank" w:history="1">
        <w:r w:rsidRPr="009E5E23">
          <w:rPr>
            <w:rFonts w:ascii="Verdana" w:eastAsia="Times New Roman" w:hAnsi="Verdana" w:cs="Arial"/>
            <w:color w:val="1155CC"/>
            <w:sz w:val="20"/>
            <w:szCs w:val="20"/>
            <w:u w:val="single"/>
          </w:rPr>
          <w:t>linked here</w:t>
        </w:r>
      </w:hyperlink>
      <w:r w:rsidRPr="009E5E23">
        <w:rPr>
          <w:rFonts w:ascii="Verdana" w:eastAsia="Times New Roman" w:hAnsi="Verdana" w:cs="Arial"/>
          <w:color w:val="222222"/>
          <w:sz w:val="20"/>
          <w:szCs w:val="20"/>
        </w:rPr>
        <w:t>)</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Major offences for Players - Relevant clauses:</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before="100" w:beforeAutospacing="1" w:after="100" w:afterAutospacing="1" w:line="240" w:lineRule="auto"/>
        <w:rPr>
          <w:rFonts w:ascii="Arial" w:eastAsia="Times New Roman" w:hAnsi="Arial" w:cs="Arial"/>
          <w:color w:val="222222"/>
          <w:sz w:val="20"/>
          <w:szCs w:val="20"/>
        </w:rPr>
      </w:pPr>
      <w:proofErr w:type="gramStart"/>
      <w:r w:rsidRPr="009E5E23">
        <w:rPr>
          <w:rFonts w:ascii="Courier New" w:eastAsia="Times New Roman" w:hAnsi="Courier New" w:cs="Courier New"/>
          <w:color w:val="222222"/>
          <w:sz w:val="20"/>
          <w:szCs w:val="20"/>
        </w:rPr>
        <w:t>o</w:t>
      </w:r>
      <w:proofErr w:type="gramEnd"/>
      <w:r w:rsidRPr="009E5E23">
        <w:rPr>
          <w:rFonts w:ascii="Times New Roman" w:eastAsia="Times New Roman" w:hAnsi="Times New Roman" w:cs="Times New Roman"/>
          <w:color w:val="222222"/>
          <w:sz w:val="20"/>
          <w:szCs w:val="20"/>
        </w:rPr>
        <w:t>    </w:t>
      </w:r>
      <w:r w:rsidRPr="009E5E23">
        <w:rPr>
          <w:rFonts w:ascii="Verdana" w:eastAsia="Times New Roman" w:hAnsi="Verdana" w:cs="Arial"/>
          <w:color w:val="222222"/>
          <w:sz w:val="20"/>
          <w:szCs w:val="20"/>
        </w:rPr>
        <w:t>5.1 Conduct contrary to the integrity of the game</w:t>
      </w:r>
    </w:p>
    <w:p w:rsidR="009E5E23" w:rsidRPr="009E5E23" w:rsidRDefault="009E5E23" w:rsidP="009E5E23">
      <w:pPr>
        <w:shd w:val="clear" w:color="auto" w:fill="FFFFFF"/>
        <w:spacing w:before="100" w:beforeAutospacing="1" w:after="100" w:afterAutospacing="1" w:line="240" w:lineRule="auto"/>
        <w:rPr>
          <w:rFonts w:ascii="Arial" w:eastAsia="Times New Roman" w:hAnsi="Arial" w:cs="Arial"/>
          <w:color w:val="222222"/>
          <w:sz w:val="20"/>
          <w:szCs w:val="20"/>
        </w:rPr>
      </w:pPr>
      <w:proofErr w:type="gramStart"/>
      <w:r w:rsidRPr="009E5E23">
        <w:rPr>
          <w:rFonts w:ascii="Courier New" w:eastAsia="Times New Roman" w:hAnsi="Courier New" w:cs="Courier New"/>
          <w:color w:val="222222"/>
          <w:sz w:val="20"/>
          <w:szCs w:val="20"/>
        </w:rPr>
        <w:t>o</w:t>
      </w:r>
      <w:proofErr w:type="gramEnd"/>
      <w:r w:rsidRPr="009E5E23">
        <w:rPr>
          <w:rFonts w:ascii="Times New Roman" w:eastAsia="Times New Roman" w:hAnsi="Times New Roman" w:cs="Times New Roman"/>
          <w:color w:val="222222"/>
          <w:sz w:val="20"/>
          <w:szCs w:val="20"/>
        </w:rPr>
        <w:t>    </w:t>
      </w:r>
      <w:r w:rsidRPr="009E5E23">
        <w:rPr>
          <w:rFonts w:ascii="Verdana" w:eastAsia="Times New Roman" w:hAnsi="Verdana" w:cs="Arial"/>
          <w:color w:val="222222"/>
          <w:sz w:val="20"/>
          <w:szCs w:val="20"/>
        </w:rPr>
        <w:t>5.2 Wagers - Wagering anything of value in connection with a tournament in which one will be, or is, competing.</w:t>
      </w:r>
    </w:p>
    <w:p w:rsidR="009E5E23" w:rsidRPr="009E5E23" w:rsidRDefault="009E5E23" w:rsidP="009E5E23">
      <w:pPr>
        <w:shd w:val="clear" w:color="auto" w:fill="FFFFFF"/>
        <w:spacing w:before="100" w:beforeAutospacing="1" w:after="100" w:afterAutospacing="1" w:line="240" w:lineRule="auto"/>
        <w:rPr>
          <w:rFonts w:ascii="Arial" w:eastAsia="Times New Roman" w:hAnsi="Arial" w:cs="Arial"/>
          <w:color w:val="222222"/>
          <w:sz w:val="20"/>
          <w:szCs w:val="20"/>
        </w:rPr>
      </w:pPr>
      <w:proofErr w:type="gramStart"/>
      <w:r w:rsidRPr="009E5E23">
        <w:rPr>
          <w:rFonts w:ascii="Courier New" w:eastAsia="Times New Roman" w:hAnsi="Courier New" w:cs="Courier New"/>
          <w:color w:val="222222"/>
          <w:sz w:val="20"/>
          <w:szCs w:val="20"/>
        </w:rPr>
        <w:t>o</w:t>
      </w:r>
      <w:proofErr w:type="gramEnd"/>
      <w:r w:rsidRPr="009E5E23">
        <w:rPr>
          <w:rFonts w:ascii="Times New Roman" w:eastAsia="Times New Roman" w:hAnsi="Times New Roman" w:cs="Times New Roman"/>
          <w:color w:val="222222"/>
          <w:sz w:val="20"/>
          <w:szCs w:val="20"/>
        </w:rPr>
        <w:t>    </w:t>
      </w:r>
      <w:r w:rsidRPr="009E5E23">
        <w:rPr>
          <w:rFonts w:ascii="Verdana" w:eastAsia="Times New Roman" w:hAnsi="Verdana" w:cs="Arial"/>
          <w:color w:val="222222"/>
          <w:sz w:val="20"/>
          <w:szCs w:val="20"/>
        </w:rPr>
        <w:t>5.3 Bribes or other payments - Offering, giving, soliciting, or accepting, or agreeing to offer, give, solicit, or accept, anything of value to or from any person with the intent to influence any player’s efforts or the result of a match  in any BWF-sanctioned tournament.</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b/>
          <w:bCs/>
          <w:color w:val="222222"/>
          <w:sz w:val="20"/>
          <w:szCs w:val="20"/>
        </w:rPr>
        <w:t>Part III, Section 1B, Appendix 5 – Declaration on Integrity of Matches</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b/>
          <w:bCs/>
          <w:color w:val="222222"/>
          <w:sz w:val="20"/>
          <w:szCs w:val="20"/>
        </w:rPr>
        <w:t>Part III, Section 1B, Appendix 9 – Coaches and Officials Code of Conduct</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Relevant clause:</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before="100" w:beforeAutospacing="1" w:after="100" w:afterAutospacing="1" w:line="240" w:lineRule="auto"/>
        <w:rPr>
          <w:rFonts w:ascii="Arial" w:eastAsia="Times New Roman" w:hAnsi="Arial" w:cs="Arial"/>
          <w:color w:val="222222"/>
          <w:sz w:val="20"/>
          <w:szCs w:val="20"/>
        </w:rPr>
      </w:pPr>
      <w:r w:rsidRPr="009E5E23">
        <w:rPr>
          <w:rFonts w:ascii="Courier New" w:eastAsia="Times New Roman" w:hAnsi="Courier New" w:cs="Courier New"/>
          <w:color w:val="222222"/>
          <w:sz w:val="20"/>
          <w:szCs w:val="20"/>
        </w:rPr>
        <w:t>o</w:t>
      </w:r>
      <w:r w:rsidRPr="009E5E23">
        <w:rPr>
          <w:rFonts w:ascii="Times New Roman" w:eastAsia="Times New Roman" w:hAnsi="Times New Roman" w:cs="Times New Roman"/>
          <w:color w:val="222222"/>
          <w:sz w:val="20"/>
          <w:szCs w:val="20"/>
        </w:rPr>
        <w:t>    </w:t>
      </w:r>
      <w:r w:rsidRPr="009E5E23">
        <w:rPr>
          <w:rFonts w:ascii="Verdana" w:eastAsia="Times New Roman" w:hAnsi="Verdana" w:cs="Arial"/>
          <w:color w:val="222222"/>
          <w:sz w:val="20"/>
          <w:szCs w:val="20"/>
        </w:rPr>
        <w:t>5.1 - Wagering anything of value in connection with a tournament in which one will be, or is working at, in any accredited capacity may result in disciplinary proceedings including possible fines and suspension against Coaches ,Team Officials and Technical Officials who are reported for such a breach’</w:t>
      </w:r>
    </w:p>
    <w:p w:rsidR="009E5E23" w:rsidRPr="009E5E23" w:rsidRDefault="009E5E23" w:rsidP="009E5E23">
      <w:pPr>
        <w:shd w:val="clear" w:color="auto" w:fill="FFFFFF"/>
        <w:spacing w:after="0" w:line="240" w:lineRule="auto"/>
        <w:jc w:val="center"/>
        <w:rPr>
          <w:rFonts w:ascii="Arial" w:eastAsia="Times New Roman" w:hAnsi="Arial" w:cs="Arial"/>
          <w:color w:val="222222"/>
          <w:sz w:val="20"/>
          <w:szCs w:val="20"/>
        </w:rPr>
      </w:pPr>
      <w:r w:rsidRPr="009E5E23">
        <w:rPr>
          <w:rFonts w:ascii="Verdana" w:eastAsia="Times New Roman" w:hAnsi="Verdana" w:cs="Arial"/>
          <w:color w:val="222222"/>
          <w:sz w:val="20"/>
          <w:szCs w:val="20"/>
        </w:rPr>
        <w:t>_______________________________________</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bookmarkStart w:id="0" w:name="_GoBack"/>
      <w:bookmarkEnd w:id="0"/>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Default="009E5E23" w:rsidP="009E5E23">
      <w:pPr>
        <w:shd w:val="clear" w:color="auto" w:fill="FFFFFF"/>
        <w:spacing w:after="0" w:line="240" w:lineRule="auto"/>
        <w:rPr>
          <w:rFonts w:ascii="Verdana" w:eastAsia="Times New Roman" w:hAnsi="Verdana" w:cs="Arial"/>
          <w:b/>
          <w:bCs/>
          <w:color w:val="222222"/>
          <w:sz w:val="20"/>
          <w:szCs w:val="20"/>
        </w:rPr>
      </w:pPr>
    </w:p>
    <w:p w:rsidR="009E5E23" w:rsidRDefault="009E5E23" w:rsidP="009E5E23">
      <w:pPr>
        <w:shd w:val="clear" w:color="auto" w:fill="FFFFFF"/>
        <w:spacing w:after="0" w:line="240" w:lineRule="auto"/>
        <w:rPr>
          <w:rFonts w:ascii="Verdana" w:eastAsia="Times New Roman" w:hAnsi="Verdana" w:cs="Arial"/>
          <w:b/>
          <w:bCs/>
          <w:color w:val="222222"/>
          <w:sz w:val="20"/>
          <w:szCs w:val="20"/>
        </w:rPr>
      </w:pP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b/>
          <w:bCs/>
          <w:color w:val="222222"/>
          <w:sz w:val="20"/>
          <w:szCs w:val="20"/>
        </w:rPr>
        <w:t>3.  Betting “Whistle Blower” system</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The BWF has a system for people to provide confidential information about betting in badminton. This “Whistle Blower” reporting system allows individuals to report in a confidential way, cases where players, coaches, administrators, technical officials are involved in betting which is contrary to the Code of Conduct and the integrity of Badminton.</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The BWF website (</w:t>
      </w:r>
      <w:hyperlink r:id="rId8" w:tgtFrame="_blank" w:history="1">
        <w:r w:rsidRPr="009E5E23">
          <w:rPr>
            <w:rFonts w:ascii="Verdana" w:eastAsia="Times New Roman" w:hAnsi="Verdana" w:cs="Arial"/>
            <w:color w:val="1155CC"/>
            <w:sz w:val="20"/>
            <w:szCs w:val="20"/>
            <w:u w:val="single"/>
          </w:rPr>
          <w:t>linked here</w:t>
        </w:r>
      </w:hyperlink>
      <w:r w:rsidRPr="009E5E23">
        <w:rPr>
          <w:rFonts w:ascii="Verdana" w:eastAsia="Times New Roman" w:hAnsi="Verdana" w:cs="Arial"/>
          <w:color w:val="222222"/>
          <w:sz w:val="20"/>
          <w:szCs w:val="20"/>
        </w:rPr>
        <w:t>) has more information on the “</w:t>
      </w:r>
      <w:r w:rsidRPr="009E5E23">
        <w:rPr>
          <w:rFonts w:ascii="Verdana" w:eastAsia="Times New Roman" w:hAnsi="Verdana" w:cs="Arial"/>
          <w:b/>
          <w:bCs/>
          <w:i/>
          <w:iCs/>
          <w:color w:val="222222"/>
          <w:sz w:val="20"/>
          <w:szCs w:val="20"/>
        </w:rPr>
        <w:t>Whistle Blower</w:t>
      </w:r>
      <w:r w:rsidRPr="009E5E23">
        <w:rPr>
          <w:rFonts w:ascii="Verdana" w:eastAsia="Times New Roman" w:hAnsi="Verdana" w:cs="Arial"/>
          <w:color w:val="222222"/>
          <w:sz w:val="20"/>
          <w:szCs w:val="20"/>
        </w:rPr>
        <w:t>” reporting system.</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Please ensure that your players, coaches, technical officials, administrators, staff and volunteers are all aware of this and possible consequences of betting in badminton tournaments where individual players, coaches, team managers, technical officials, staff and volunteers are involved.</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jc w:val="center"/>
        <w:rPr>
          <w:rFonts w:ascii="Arial" w:eastAsia="Times New Roman" w:hAnsi="Arial" w:cs="Arial"/>
          <w:color w:val="222222"/>
          <w:sz w:val="20"/>
          <w:szCs w:val="20"/>
        </w:rPr>
      </w:pPr>
      <w:r w:rsidRPr="009E5E23">
        <w:rPr>
          <w:rFonts w:ascii="Verdana" w:eastAsia="Times New Roman" w:hAnsi="Verdana" w:cs="Arial"/>
          <w:color w:val="222222"/>
          <w:sz w:val="20"/>
          <w:szCs w:val="20"/>
        </w:rPr>
        <w:t>_______________________________________</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Kind regards</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 xml:space="preserve">Stuart </w:t>
      </w:r>
      <w:proofErr w:type="spellStart"/>
      <w:r w:rsidRPr="009E5E23">
        <w:rPr>
          <w:rFonts w:ascii="Verdana" w:eastAsia="Times New Roman" w:hAnsi="Verdana" w:cs="Arial"/>
          <w:color w:val="222222"/>
          <w:sz w:val="20"/>
          <w:szCs w:val="20"/>
        </w:rPr>
        <w:t>Borrie</w:t>
      </w:r>
      <w:proofErr w:type="spellEnd"/>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Director of Operations</w:t>
      </w:r>
    </w:p>
    <w:p w:rsidR="009E5E23" w:rsidRPr="009E5E23" w:rsidRDefault="009E5E23" w:rsidP="009E5E23">
      <w:pPr>
        <w:shd w:val="clear" w:color="auto" w:fill="FFFFFF"/>
        <w:spacing w:after="0" w:line="240" w:lineRule="auto"/>
        <w:rPr>
          <w:rFonts w:ascii="Arial" w:eastAsia="Times New Roman" w:hAnsi="Arial" w:cs="Arial"/>
          <w:color w:val="222222"/>
          <w:sz w:val="20"/>
          <w:szCs w:val="20"/>
        </w:rPr>
      </w:pPr>
      <w:r w:rsidRPr="009E5E23">
        <w:rPr>
          <w:rFonts w:ascii="Verdana" w:eastAsia="Times New Roman" w:hAnsi="Verdana" w:cs="Arial"/>
          <w:color w:val="222222"/>
          <w:sz w:val="20"/>
          <w:szCs w:val="20"/>
        </w:rPr>
        <w:t>Badminton World Federation</w:t>
      </w:r>
    </w:p>
    <w:p w:rsidR="003B06E8" w:rsidRPr="009E5E23" w:rsidRDefault="003B06E8">
      <w:pPr>
        <w:rPr>
          <w:sz w:val="20"/>
          <w:szCs w:val="20"/>
        </w:rPr>
      </w:pPr>
    </w:p>
    <w:sectPr w:rsidR="003B06E8" w:rsidRPr="009E5E23" w:rsidSect="009E5E23">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23"/>
    <w:rsid w:val="00241D96"/>
    <w:rsid w:val="003B06E8"/>
    <w:rsid w:val="009E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5E23"/>
  </w:style>
  <w:style w:type="paragraph" w:styleId="NormalWeb">
    <w:name w:val="Normal (Web)"/>
    <w:basedOn w:val="Normal"/>
    <w:uiPriority w:val="99"/>
    <w:semiHidden/>
    <w:unhideWhenUsed/>
    <w:rsid w:val="009E5E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E23"/>
    <w:rPr>
      <w:color w:val="0000FF"/>
      <w:u w:val="single"/>
    </w:rPr>
  </w:style>
  <w:style w:type="paragraph" w:styleId="BalloonText">
    <w:name w:val="Balloon Text"/>
    <w:basedOn w:val="Normal"/>
    <w:link w:val="BalloonTextChar"/>
    <w:uiPriority w:val="99"/>
    <w:semiHidden/>
    <w:unhideWhenUsed/>
    <w:rsid w:val="009E5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5E23"/>
  </w:style>
  <w:style w:type="paragraph" w:styleId="NormalWeb">
    <w:name w:val="Normal (Web)"/>
    <w:basedOn w:val="Normal"/>
    <w:uiPriority w:val="99"/>
    <w:semiHidden/>
    <w:unhideWhenUsed/>
    <w:rsid w:val="009E5E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E23"/>
    <w:rPr>
      <w:color w:val="0000FF"/>
      <w:u w:val="single"/>
    </w:rPr>
  </w:style>
  <w:style w:type="paragraph" w:styleId="BalloonText">
    <w:name w:val="Balloon Text"/>
    <w:basedOn w:val="Normal"/>
    <w:link w:val="BalloonTextChar"/>
    <w:uiPriority w:val="99"/>
    <w:semiHidden/>
    <w:unhideWhenUsed/>
    <w:rsid w:val="009E5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fbadminton.org/page.aspx?id=21842" TargetMode="External"/><Relationship Id="rId3" Type="http://schemas.openxmlformats.org/officeDocument/2006/relationships/settings" Target="settings.xml"/><Relationship Id="rId7" Type="http://schemas.openxmlformats.org/officeDocument/2006/relationships/hyperlink" Target="http://www.bwfbadminton.org/page.aspx?id=149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wfbadminton.org/page.aspx?id=155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2012-07-09T11:49:00Z</dcterms:created>
  <dcterms:modified xsi:type="dcterms:W3CDTF">2012-07-09T11:53:00Z</dcterms:modified>
</cp:coreProperties>
</file>